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30j0zll" w:id="0"/>
    <w:bookmarkEnd w:id="0"/>
    <w:bookmarkStart w:colFirst="0" w:colLast="0" w:name="bookmark=id.1fob9te" w:id="1"/>
    <w:bookmarkEnd w:id="1"/>
    <w:bookmarkStart w:colFirst="0" w:colLast="0" w:name="bookmark=id.gjdgxs" w:id="2"/>
    <w:bookmarkEnd w:id="2"/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  <w:drawing>
          <wp:inline distB="0" distT="0" distL="0" distR="0">
            <wp:extent cx="5715000" cy="8477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47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bookmarkStart w:colFirst="0" w:colLast="0" w:name="bookmark=id.2et92p0" w:id="3"/>
      <w:bookmarkEnd w:id="3"/>
      <w:bookmarkStart w:colFirst="0" w:colLast="0" w:name="bookmark=id.3znysh7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3dy6vkm" w:id="5"/>
    <w:bookmarkEnd w:id="5"/>
    <w:bookmarkStart w:colFirst="0" w:colLast="0" w:name="bookmark=id.4d34og8" w:id="6"/>
    <w:bookmarkEnd w:id="6"/>
    <w:bookmarkStart w:colFirst="0" w:colLast="0" w:name="bookmark=id.1t3h5sf" w:id="7"/>
    <w:bookmarkEnd w:id="7"/>
    <w:p w:rsidR="00000000" w:rsidDel="00000000" w:rsidP="00000000" w:rsidRDefault="00000000" w:rsidRPr="00000000" w14:paraId="00000006">
      <w:pPr>
        <w:pStyle w:val="Heading3"/>
        <w:spacing w:after="0" w:before="0" w:lineRule="auto"/>
        <w:ind w:left="0" w:right="0" w:firstLine="0"/>
        <w:jc w:val="center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Istituto Comprensivo "E. Solvay/D. Alighieri"</w:t>
      </w:r>
    </w:p>
    <w:bookmarkStart w:colFirst="0" w:colLast="0" w:name="bookmark=id.2s8eyo1" w:id="8"/>
    <w:bookmarkEnd w:id="8"/>
    <w:p w:rsidR="00000000" w:rsidDel="00000000" w:rsidP="00000000" w:rsidRDefault="00000000" w:rsidRPr="00000000" w14:paraId="00000007">
      <w:pPr>
        <w:pStyle w:val="Heading3"/>
        <w:spacing w:after="0" w:before="0" w:lineRule="auto"/>
        <w:jc w:val="center"/>
        <w:rPr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Via Ernesto Solvay, 31, </w:t>
      </w:r>
      <w:bookmarkStart w:colFirst="0" w:colLast="0" w:name="bookmark=id.17dp8vu" w:id="9"/>
      <w:bookmarkEnd w:id="9"/>
      <w:r w:rsidDel="00000000" w:rsidR="00000000" w:rsidRPr="00000000">
        <w:rPr>
          <w:sz w:val="27"/>
          <w:szCs w:val="27"/>
          <w:highlight w:val="white"/>
          <w:rtl w:val="0"/>
        </w:rPr>
        <w:t xml:space="preserve">57016 </w:t>
      </w:r>
      <w:bookmarkStart w:colFirst="0" w:colLast="0" w:name="bookmark=id.3rdcrjn" w:id="10"/>
      <w:bookmarkEnd w:id="10"/>
      <w:r w:rsidDel="00000000" w:rsidR="00000000" w:rsidRPr="00000000">
        <w:rPr>
          <w:sz w:val="27"/>
          <w:szCs w:val="27"/>
          <w:highlight w:val="white"/>
          <w:rtl w:val="0"/>
        </w:rPr>
        <w:t xml:space="preserve">Rosignano Marittimo (</w:t>
      </w:r>
      <w:bookmarkStart w:colFirst="0" w:colLast="0" w:name="bookmark=id.26in1rg" w:id="11"/>
      <w:bookmarkEnd w:id="11"/>
      <w:r w:rsidDel="00000000" w:rsidR="00000000" w:rsidRPr="00000000">
        <w:rPr>
          <w:sz w:val="27"/>
          <w:szCs w:val="27"/>
          <w:highlight w:val="white"/>
          <w:rtl w:val="0"/>
        </w:rPr>
        <w:t xml:space="preserve">LI) - Tel.: </w:t>
      </w:r>
      <w:bookmarkStart w:colFirst="0" w:colLast="0" w:name="bookmark=id.lnxbz9" w:id="12"/>
      <w:bookmarkEnd w:id="12"/>
      <w:r w:rsidDel="00000000" w:rsidR="00000000" w:rsidRPr="00000000">
        <w:rPr>
          <w:sz w:val="27"/>
          <w:szCs w:val="27"/>
          <w:highlight w:val="white"/>
          <w:rtl w:val="0"/>
        </w:rPr>
        <w:t xml:space="preserve">0586764609</w:t>
      </w: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sz w:val="27"/>
          <w:szCs w:val="27"/>
          <w:highlight w:val="white"/>
          <w:rtl w:val="0"/>
        </w:rPr>
        <w:t xml:space="preserve">E-mail: </w:t>
      </w:r>
      <w:bookmarkStart w:colFirst="0" w:colLast="0" w:name="bookmark=id.35nkun2" w:id="13"/>
      <w:bookmarkEnd w:id="13"/>
      <w:r w:rsidDel="00000000" w:rsidR="00000000" w:rsidRPr="00000000">
        <w:rPr>
          <w:sz w:val="27"/>
          <w:szCs w:val="27"/>
          <w:highlight w:val="white"/>
          <w:rtl w:val="0"/>
        </w:rPr>
        <w:t xml:space="preserve">LIIC818003@istruzione.it - Pec: </w:t>
      </w:r>
      <w:bookmarkStart w:colFirst="0" w:colLast="0" w:name="bookmark=id.1ksv4uv" w:id="14"/>
      <w:bookmarkEnd w:id="14"/>
      <w:r w:rsidDel="00000000" w:rsidR="00000000" w:rsidRPr="00000000">
        <w:rPr>
          <w:sz w:val="27"/>
          <w:szCs w:val="27"/>
          <w:highlight w:val="white"/>
          <w:rtl w:val="0"/>
        </w:rPr>
        <w:t xml:space="preserve">LIIC818003@pec.istruzione.it</w:t>
        <w:br w:type="textWrapping"/>
        <w:t xml:space="preserve">C.F.: </w:t>
      </w:r>
      <w:bookmarkStart w:colFirst="0" w:colLast="0" w:name="bookmark=id.44sinio" w:id="15"/>
      <w:bookmarkEnd w:id="15"/>
      <w:r w:rsidDel="00000000" w:rsidR="00000000" w:rsidRPr="00000000">
        <w:rPr>
          <w:sz w:val="27"/>
          <w:szCs w:val="27"/>
          <w:highlight w:val="white"/>
          <w:rtl w:val="0"/>
        </w:rPr>
        <w:t xml:space="preserve">92137870496 - C.M.: </w:t>
      </w:r>
      <w:bookmarkStart w:colFirst="0" w:colLast="0" w:name="bookmark=id.2jxsxqh" w:id="16"/>
      <w:bookmarkEnd w:id="16"/>
      <w:r w:rsidDel="00000000" w:rsidR="00000000" w:rsidRPr="00000000">
        <w:rPr>
          <w:sz w:val="27"/>
          <w:szCs w:val="27"/>
          <w:highlight w:val="white"/>
          <w:rtl w:val="0"/>
        </w:rPr>
        <w:t xml:space="preserve">LIIC818003</w:t>
      </w:r>
      <w:r w:rsidDel="00000000" w:rsidR="00000000" w:rsidRPr="00000000">
        <w:rPr>
          <w:rtl w:val="0"/>
        </w:rPr>
      </w:r>
    </w:p>
    <w:bookmarkStart w:colFirst="0" w:colLast="0" w:name="bookmark=id.z337ya" w:id="17"/>
    <w:bookmarkEnd w:id="17"/>
    <w:bookmarkStart w:colFirst="0" w:colLast="0" w:name="bookmark=id.3j2qqm3" w:id="18"/>
    <w:bookmarkEnd w:id="18"/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Protocollo come da segnatura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1y810tw" w:id="19"/>
    <w:bookmarkEnd w:id="19"/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Rosignano Marittimo, __ - __ - 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2xcytpi" w:id="20"/>
    <w:bookmarkEnd w:id="20"/>
    <w:bookmarkStart w:colFirst="0" w:colLast="0" w:name="bookmark=id.4i7ojhp" w:id="21"/>
    <w:bookmarkEnd w:id="21"/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</w: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Oggetto: Nomina Commissione di valutazione - Avviso di Selezione Interna prot. n. </w:t>
      </w:r>
      <w:bookmarkStart w:colFirst="0" w:colLast="0" w:name="bookmark=id.1ci93xb" w:id="22"/>
      <w:bookmarkEnd w:id="22"/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tl w:val="0"/>
        </w:rPr>
      </w:r>
    </w:p>
    <w:bookmarkStart w:colFirst="0" w:colLast="0" w:name="bookmark=id.2bn6wsx" w:id="23"/>
    <w:bookmarkEnd w:id="23"/>
    <w:bookmarkStart w:colFirst="0" w:colLast="0" w:name="bookmark=id.3whwml4" w:id="24"/>
    <w:bookmarkEnd w:id="24"/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Avviso Pubblico </w:t>
      </w:r>
      <w:bookmarkStart w:colFirst="0" w:colLast="0" w:name="bookmark=id.qsh70q" w:id="25"/>
      <w:bookmarkEnd w:id="25"/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D.M. 65/2023 - PNRR - Missione 4 – Istruzione e Ricerca – Componente 1 – Potenziamento dell’offerta dei servizi all’istruzione: dagli asili nido all’Università - Investimento 3.1 “Nuove competenze e nuovi linguaggi” del Piano nazionale di ripresa e resilienza, finanziato dall’Unione europea – Next Generation EU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- CUP: </w:t>
      </w:r>
      <w:bookmarkStart w:colFirst="0" w:colLast="0" w:name="bookmark=id.3as4poj" w:id="26"/>
      <w:bookmarkEnd w:id="26"/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G34D23006420006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Titolo progetto: </w:t>
      </w:r>
      <w:bookmarkStart w:colFirst="0" w:colLast="0" w:name="bookmark=id.1pxezwc" w:id="27"/>
      <w:bookmarkEnd w:id="27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PROGRAMMARE PER COMUNICARE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Codice progetto: </w:t>
      </w:r>
      <w:bookmarkStart w:colFirst="0" w:colLast="0" w:name="bookmark=id.49x2ik5" w:id="28"/>
      <w:bookmarkEnd w:id="28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M4C1I3.1-2023-1143-P-40752</w:t>
      </w:r>
    </w:p>
    <w:bookmarkStart w:colFirst="0" w:colLast="0" w:name="bookmark=id.147n2zr" w:id="29"/>
    <w:bookmarkEnd w:id="29"/>
    <w:bookmarkStart w:colFirst="0" w:colLast="0" w:name="bookmark=id.2p2csry" w:id="30"/>
    <w:bookmarkEnd w:id="30"/>
    <w:p w:rsidR="00000000" w:rsidDel="00000000" w:rsidP="00000000" w:rsidRDefault="00000000" w:rsidRPr="00000000" w14:paraId="00000010">
      <w:pPr>
        <w:pStyle w:val="Heading3"/>
        <w:spacing w:after="0" w:before="0" w:lineRule="auto"/>
        <w:ind w:left="0" w:right="0" w:firstLine="0"/>
        <w:jc w:val="center"/>
        <w:rPr/>
      </w:pP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b w:val="1"/>
          <w:highlight w:val="white"/>
          <w:rtl w:val="0"/>
        </w:rPr>
        <w:t xml:space="preserve">IL DIRIGENTE SCOLASTICO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23ckvvd" w:id="31"/>
    <w:bookmarkEnd w:id="31"/>
    <w:bookmarkStart w:colFirst="0" w:colLast="0" w:name="bookmark=id.3o7alnk" w:id="32"/>
    <w:bookmarkEnd w:id="32"/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R.D. 18 novembre 1923, n. 2440, concernente l’amministrazione del Patrimonio e la Contabilità Generale dello Stato ed il relativo regolamento approvato con R.D. 23 maggio 1924, n. 827 e ss.mm.ii.;</w:t>
      </w:r>
      <w:r w:rsidDel="00000000" w:rsidR="00000000" w:rsidRPr="00000000">
        <w:rPr>
          <w:rtl w:val="0"/>
        </w:rPr>
      </w:r>
    </w:p>
    <w:bookmarkStart w:colFirst="0" w:colLast="0" w:name="bookmark=id.ihv636" w:id="33"/>
    <w:bookmarkEnd w:id="33"/>
    <w:bookmarkStart w:colFirst="0" w:colLast="0" w:name="bookmark=id.32hioqz" w:id="34"/>
    <w:bookmarkEnd w:id="34"/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D.I. n. 129/2018 "Regolamento recante istruzioni generali sulla gestione amministrativo-contabile delle istituzioni scolastiche, ai sensi dell’articolo 1, comma 143, della Legge 13 luglio 2015, n. 107";</w:t>
      </w:r>
      <w:r w:rsidDel="00000000" w:rsidR="00000000" w:rsidRPr="00000000">
        <w:rPr>
          <w:rtl w:val="0"/>
        </w:rPr>
      </w:r>
    </w:p>
    <w:bookmarkStart w:colFirst="0" w:colLast="0" w:name="bookmark=id.1hmsyys" w:id="35"/>
    <w:bookmarkEnd w:id="35"/>
    <w:bookmarkStart w:colFirst="0" w:colLast="0" w:name="bookmark=id.41mghml" w:id="36"/>
    <w:bookmarkEnd w:id="36"/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Decreto Legislativo 30 marzo 2001, n. 165 recante “Norme generali sull’ordinamento del lavoro alle dipendenze delle Amministrazioni Pubbliche” e ss.mm.ii.;</w:t>
      </w:r>
      <w:r w:rsidDel="00000000" w:rsidR="00000000" w:rsidRPr="00000000">
        <w:rPr>
          <w:rtl w:val="0"/>
        </w:rPr>
      </w:r>
    </w:p>
    <w:bookmarkStart w:colFirst="0" w:colLast="0" w:name="bookmark=id.vx1227" w:id="37"/>
    <w:bookmarkEnd w:id="37"/>
    <w:bookmarkStart w:colFirst="0" w:colLast="0" w:name="bookmark=id.2grqrue" w:id="38"/>
    <w:bookmarkEnd w:id="38"/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Legge 7 agosto 1990, n. 241 “Nuove norme in materia di procedimento amministrativo e di diritto di accesso ai documenti amministrativi” e ss.mm.ii.;</w:t>
      </w:r>
      <w:r w:rsidDel="00000000" w:rsidR="00000000" w:rsidRPr="00000000">
        <w:rPr>
          <w:rtl w:val="0"/>
        </w:rPr>
      </w:r>
    </w:p>
    <w:bookmarkStart w:colFirst="0" w:colLast="0" w:name="bookmark=id.3fwokq0" w:id="39"/>
    <w:bookmarkEnd w:id="39"/>
    <w:bookmarkStart w:colFirst="0" w:colLast="0" w:name="bookmark=id.1v1yuxt" w:id="40"/>
    <w:bookmarkEnd w:id="40"/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Legge 15 marzo 1997 n. 59, concernente “Delega al Governo per il conferimento di funzioni e compiti alle regioni ed enti locali, per la riforma della Pubblica Amministrazione e per la semplificazione amministrativa";</w:t>
      </w:r>
      <w:r w:rsidDel="00000000" w:rsidR="00000000" w:rsidRPr="00000000">
        <w:rPr>
          <w:rtl w:val="0"/>
        </w:rPr>
      </w:r>
    </w:p>
    <w:bookmarkStart w:colFirst="0" w:colLast="0" w:name="bookmark=id.2u6wntf" w:id="41"/>
    <w:bookmarkEnd w:id="41"/>
    <w:bookmarkStart w:colFirst="0" w:colLast="0" w:name="bookmark=id.4f1mdlm" w:id="42"/>
    <w:bookmarkEnd w:id="42"/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D.P.R. 8 marzo 1999, n. 275, concernente il Regolamento recante norme in materia di autonomia delle Istituzioni Scolastiche, ai sensi dell'art. 21 della Legge 15 marzo 1997, n. 59;</w:t>
      </w:r>
      <w:r w:rsidDel="00000000" w:rsidR="00000000" w:rsidRPr="00000000">
        <w:rPr>
          <w:rtl w:val="0"/>
        </w:rPr>
      </w:r>
    </w:p>
    <w:bookmarkStart w:colFirst="0" w:colLast="0" w:name="bookmark=id.19c6y18" w:id="43"/>
    <w:bookmarkEnd w:id="43"/>
    <w:bookmarkStart w:colFirst="0" w:colLast="0" w:name="bookmark=id.3tbugp1" w:id="44"/>
    <w:bookmarkEnd w:id="44"/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Legge 13 luglio 2015 n. 107, concernente “Riforma del sistema nazionale di istruzione e formazione e delega per il riordino delle disposizioni legislative vigenti”;</w:t>
      </w:r>
      <w:r w:rsidDel="00000000" w:rsidR="00000000" w:rsidRPr="00000000">
        <w:rPr>
          <w:rtl w:val="0"/>
        </w:rPr>
      </w:r>
    </w:p>
    <w:bookmarkStart w:colFirst="0" w:colLast="0" w:name="bookmark=id.28h4qwu" w:id="45"/>
    <w:bookmarkEnd w:id="45"/>
    <w:bookmarkStart w:colFirst="0" w:colLast="0" w:name="bookmark=id.nmf14n" w:id="46"/>
    <w:bookmarkEnd w:id="46"/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Decreto Legislativo recante il Codice dei Contratti Pubblici n. 36 del 31/03/2023, approvato dal Consiglio dei Ministri nella seduta del 28/03/2023, attuativo dell’articolo 1 della legge 21 giugno 2022, n. 78;</w:t>
      </w:r>
      <w:r w:rsidDel="00000000" w:rsidR="00000000" w:rsidRPr="00000000">
        <w:rPr>
          <w:rtl w:val="0"/>
        </w:rPr>
      </w:r>
    </w:p>
    <w:bookmarkStart w:colFirst="0" w:colLast="0" w:name="bookmark=id.37m2jsg" w:id="47"/>
    <w:bookmarkEnd w:id="47"/>
    <w:bookmarkStart w:colFirst="0" w:colLast="0" w:name="bookmark=id.1mrcu09" w:id="48"/>
    <w:bookmarkEnd w:id="48"/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D.L. 16 luglio 2020, n. 76 recante Misure urgenti per la semplificazione e l'innovazione digitale (GU Serie Generale n.178 del 16-07-2020 - Suppl. Ordinario n. 24);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Legge 30 dicembre 2020, n. 178, recante “Bilancio di previsione dello Stato per l’anno finanziario 2021 e bilancio pluriennale per il triennio 2021-2023”;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Legge 29 dicembre 2022, n. 197, recante “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Bilancio di previsione dello Stato per l'anno finanziario 2023 e bilancio pluriennale per il triennio 2023-2025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” </w:t>
      </w:r>
      <w:hyperlink r:id="rId8">
        <w:r w:rsidDel="00000000" w:rsidR="00000000" w:rsidRPr="00000000">
          <w:rPr>
            <w:rFonts w:ascii="Liberation Serif" w:cs="Liberation Serif" w:eastAsia="Liberation Serif" w:hAnsi="Liberation Serif"/>
            <w:b w:val="0"/>
            <w:i w:val="0"/>
            <w:smallCaps w:val="0"/>
            <w:strike w:val="0"/>
            <w:color w:val="000000"/>
            <w:sz w:val="24"/>
            <w:szCs w:val="24"/>
            <w:highlight w:val="white"/>
            <w:u w:val="single"/>
            <w:vertAlign w:val="baseline"/>
            <w:rtl w:val="0"/>
          </w:rPr>
          <w:t xml:space="preserve">(GU Serie Generale n.303 del 29-12-2022 - Suppl. Ordinario n. 43)</w:t>
        </w:r>
      </w:hyperlink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l’art. 11 della Legge 16 gennaio 2003, n. 3, recante “Disposizioni ordinamentali in materia di pubblica amministrazione”, in forza del quale “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ogni nuovo progetto di investimento pubblico, nonché ogni progetto in corso di attuazione alla predetta data, è dotato di un "Codice unico di progetto", che le competenti amministrazioni o i soggetti aggiudicatori richiedono in via telematica secondo la procedura definita dal CIPE”;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l’art. 3 della Legge 13 agosto 2010, n. 136, recante il “Piano straordinario contro le mafie, nonché delega al Governo in materia di normativa antimafia”, in forza del quale “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Ai fini della tracciabilità dei flussi finanziari, gli strumenti di pagamento devono riportare, in relazione a ciascuna transazione posta in essere dalla stazione appaltante e dagli altri soggetti di cui al comma 1, il codice identificativo di gara (CIG), attribuito dall'Autorità di vigilanza sui contratti pubblici di lavori, servizi e forniture su richiesta della stazione appaltante e, ove obbligatorio ai sensi dell'</w:t>
      </w:r>
      <w:hyperlink r:id="rId9">
        <w:r w:rsidDel="00000000" w:rsidR="00000000" w:rsidRPr="00000000">
          <w:rPr>
            <w:rFonts w:ascii="Liberation Serif" w:cs="Liberation Serif" w:eastAsia="Liberation Serif" w:hAnsi="Liberation Serif"/>
            <w:b w:val="0"/>
            <w:i w:val="1"/>
            <w:smallCaps w:val="0"/>
            <w:strike w:val="0"/>
            <w:color w:val="000000"/>
            <w:sz w:val="24"/>
            <w:szCs w:val="24"/>
            <w:highlight w:val="white"/>
            <w:u w:val="single"/>
            <w:vertAlign w:val="baseline"/>
            <w:rtl w:val="0"/>
          </w:rPr>
          <w:t xml:space="preserve">articolo 11 della legge 16 gennaio 2003, n. 3</w:t>
        </w:r>
      </w:hyperlink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, il codice unico di progetto (CUP)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”;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Determinazione ANAC n. 4 del 7 luglio 2011, recante le “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Linee guida sulla tracciabilita’ dei flussi finanziari ai sensi dell’articolo 3 della legge 13 agosto 2010, n. 136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”, come aggiornata dalla delibera ANAC n. 556/2017 e da ultimo modificata dalla delibera ANAC n. 371/2022;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delibera del CIPE n. 63 del 26 novembre 2020 che introduce la normativa attuativa della riforma del CUP;</w:t>
      </w:r>
      <w:r w:rsidDel="00000000" w:rsidR="00000000" w:rsidRPr="00000000">
        <w:rPr>
          <w:rtl w:val="0"/>
        </w:rPr>
      </w:r>
    </w:p>
    <w:bookmarkStart w:colFirst="0" w:colLast="0" w:name="bookmark=id.2lwamvv" w:id="49"/>
    <w:bookmarkEnd w:id="49"/>
    <w:bookmarkStart w:colFirst="0" w:colLast="0" w:name="bookmark=id.46r0co2" w:id="50"/>
    <w:bookmarkEnd w:id="50"/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Decreto-Legge 6 maggio 2021, n. 59, convertito, con modificazioni, dalla legge 1° luglio 2021, n. 101, recante “Misure urgenti relative al Fondo complementare al Piano nazionale di ripresa e resilienza e altre misure urgenti per gli investimenti”;</w:t>
      </w:r>
      <w:r w:rsidDel="00000000" w:rsidR="00000000" w:rsidRPr="00000000">
        <w:rPr>
          <w:rtl w:val="0"/>
        </w:rPr>
      </w:r>
    </w:p>
    <w:bookmarkStart w:colFirst="0" w:colLast="0" w:name="bookmark=id.111kx3o" w:id="51"/>
    <w:bookmarkEnd w:id="51"/>
    <w:bookmarkStart w:colFirst="0" w:colLast="0" w:name="bookmark=id.3l18frh" w:id="52"/>
    <w:bookmarkEnd w:id="52"/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Decreto Legge 9 giugno 2021, n. 80, convertito nella legge 6 agosto 2021, n. 113, recante: «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Misure urgenti per il rafforzamento della capacità amministrativa delle pubbliche amministrazioni funzionale all'attuazione del Piano nazionale di ripresa e resilienza (PNRR) e per l'efficienza della giustizia» che, al secondo periodo del comma 1 dell’articolo 7 prevede che «Con decreto del Presidente del Consiglio dei ministri, su proposta del Ministro dell'economia e delle finanze, si provvede alla individuazione delle amministrazioni di cui all'articolo 8, comma 1, del decreto-legge 31 maggio 2021, n. 77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»;</w:t>
      </w:r>
      <w:r w:rsidDel="00000000" w:rsidR="00000000" w:rsidRPr="00000000">
        <w:rPr>
          <w:rtl w:val="0"/>
        </w:rPr>
      </w:r>
    </w:p>
    <w:bookmarkStart w:colFirst="0" w:colLast="0" w:name="bookmark=id.206ipza" w:id="53"/>
    <w:bookmarkEnd w:id="53"/>
    <w:bookmarkStart w:colFirst="0" w:colLast="0" w:name="bookmark=id.4k668n3" w:id="54"/>
    <w:bookmarkEnd w:id="54"/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Decreto-legge del 31 maggio 2021, n. 77, convertito nella legge 29 luglio 2021, n. 108, recante: «Governance del Piano nazionale di ripresa e resilienza e prime misure di rafforzamento delle strutture amministrative e di accelerazione e snellimento delle procedure»;</w:t>
      </w:r>
      <w:r w:rsidDel="00000000" w:rsidR="00000000" w:rsidRPr="00000000">
        <w:rPr>
          <w:rtl w:val="0"/>
        </w:rPr>
      </w:r>
    </w:p>
    <w:bookmarkStart w:colFirst="0" w:colLast="0" w:name="bookmark=id.2zbgiuw" w:id="55"/>
    <w:bookmarkEnd w:id="55"/>
    <w:bookmarkStart w:colFirst="0" w:colLast="0" w:name="bookmark=id.1egqt2p" w:id="56"/>
    <w:bookmarkEnd w:id="56"/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Decreto-Legge 6 novembre 2021, n. 152, convertito, con modificazioni, dalla legge 29 dicembre 2021, n. 233, recante “Disposizioni urgenti per l’attuazione del Piano nazionale di ripresa e resilienza (PNRR) e per la prevenzione delle infiltrazioni mafiose”;</w:t>
      </w:r>
      <w:r w:rsidDel="00000000" w:rsidR="00000000" w:rsidRPr="00000000">
        <w:rPr>
          <w:rtl w:val="0"/>
        </w:rPr>
      </w:r>
    </w:p>
    <w:bookmarkStart w:colFirst="0" w:colLast="0" w:name="bookmark=id.3ygebqi" w:id="57"/>
    <w:bookmarkEnd w:id="57"/>
    <w:bookmarkStart w:colFirst="0" w:colLast="0" w:name="bookmark=id.2dlolyb" w:id="58"/>
    <w:bookmarkEnd w:id="58"/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Decreto Legge 30 aprile 2022, n. 36, convertito, con modificazioni, dalla legge 29 giugno 2022, n. 79, recante “Ulteriori misure urgenti per l’attuazione del Piano nazionale di ripresa e resilienza” e, in particolare, l’articolo 47;</w:t>
      </w:r>
      <w:r w:rsidDel="00000000" w:rsidR="00000000" w:rsidRPr="00000000">
        <w:rPr>
          <w:rtl w:val="0"/>
        </w:rPr>
      </w:r>
    </w:p>
    <w:bookmarkStart w:colFirst="0" w:colLast="0" w:name="bookmark=id.3cqmetx" w:id="59"/>
    <w:bookmarkEnd w:id="59"/>
    <w:bookmarkStart w:colFirst="0" w:colLast="0" w:name="bookmark=id.sqyw64" w:id="60"/>
    <w:bookmarkEnd w:id="60"/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Decreto-Legge 11 novembre 2022, n. 173, recante “Disposizioni urgenti in materia di riordino delle attribuzioni dei Ministeri”;</w:t>
      </w:r>
      <w:r w:rsidDel="00000000" w:rsidR="00000000" w:rsidRPr="00000000">
        <w:rPr>
          <w:rtl w:val="0"/>
        </w:rPr>
      </w:r>
    </w:p>
    <w:bookmarkStart w:colFirst="0" w:colLast="0" w:name="bookmark=id.1rvwp1q" w:id="61"/>
    <w:bookmarkEnd w:id="61"/>
    <w:bookmarkStart w:colFirst="0" w:colLast="0" w:name="bookmark=id.4bvk7pj" w:id="62"/>
    <w:bookmarkEnd w:id="62"/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Regolamento (UE) 2018/1046 del 18 luglio 2018, che stabilisce le regole finanziarie applicabili al bilancio generale dell’Unione, che modifica i regolamenti (UE) n. 1296/2013, n. 1301/2013, n. 1303/2013, n. 1304/2013, n. 1309/2013, n. 1316/2013, n. 223/2014, n. 283/2014 e la decisione n. 541/2014/UE e abroga il regolamento (UE, Euratom) n. 966/2012;</w:t>
      </w:r>
      <w:r w:rsidDel="00000000" w:rsidR="00000000" w:rsidRPr="00000000">
        <w:rPr>
          <w:rtl w:val="0"/>
        </w:rPr>
      </w:r>
    </w:p>
    <w:bookmarkStart w:colFirst="0" w:colLast="0" w:name="bookmark=id.1664s55" w:id="63"/>
    <w:bookmarkEnd w:id="63"/>
    <w:bookmarkStart w:colFirst="0" w:colLast="0" w:name="bookmark=id.2r0uhxc" w:id="64"/>
    <w:bookmarkEnd w:id="64"/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Regolamento (UE) 2021/241 del Parlamento europeo e del Consiglio, del 12 febbraio 2021 che istituisce il Dispositivo per la ripresa e per la resilienza;</w:t>
      </w:r>
      <w:r w:rsidDel="00000000" w:rsidR="00000000" w:rsidRPr="00000000">
        <w:rPr>
          <w:rtl w:val="0"/>
        </w:rPr>
      </w:r>
    </w:p>
    <w:bookmarkStart w:colFirst="0" w:colLast="0" w:name="bookmark=id.3q5sasy" w:id="65"/>
    <w:bookmarkEnd w:id="65"/>
    <w:bookmarkStart w:colFirst="0" w:colLast="0" w:name="bookmark=id.25b2l0r" w:id="66"/>
    <w:bookmarkEnd w:id="66"/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Regolamento delegato (UE) 2021/2105 della Commissione del 28 settembre 2021, che integra il regolamento (UE) 2021/241 del Parlamento europeo e del Consiglio, che istituisce il dispositivo per la ripresa e la resilienza, definendo una metodologia per la rendicontazione della spesa sociale;</w:t>
      </w:r>
      <w:r w:rsidDel="00000000" w:rsidR="00000000" w:rsidRPr="00000000">
        <w:rPr>
          <w:rtl w:val="0"/>
        </w:rPr>
      </w:r>
    </w:p>
    <w:bookmarkStart w:colFirst="0" w:colLast="0" w:name="bookmark=id.kgcv8k" w:id="67"/>
    <w:bookmarkEnd w:id="67"/>
    <w:bookmarkStart w:colFirst="0" w:colLast="0" w:name="bookmark=id.34g0dwd" w:id="68"/>
    <w:bookmarkEnd w:id="68"/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Piano nazionale di ripresa e resilienza (PNRR), la cui valutazione positiva è stata approvata con Decisione del Consiglio ECOFIN del 13 luglio 2021 e notificata all’Italia dal Segretariato generale del Consiglio con nota LT161/21, del 14 luglio 2021;</w:t>
      </w:r>
      <w:r w:rsidDel="00000000" w:rsidR="00000000" w:rsidRPr="00000000">
        <w:rPr>
          <w:rtl w:val="0"/>
        </w:rPr>
      </w:r>
    </w:p>
    <w:bookmarkStart w:colFirst="0" w:colLast="0" w:name="bookmark=id.1jlao46" w:id="69"/>
    <w:bookmarkEnd w:id="69"/>
    <w:bookmarkStart w:colFirst="0" w:colLast="0" w:name="bookmark=id.43ky6rz" w:id="70"/>
    <w:bookmarkEnd w:id="70"/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VISTI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 principi trasversali previsti dal PNRR, quali, tra l’altro, il principio del contributo all’obiettivo climatico e digitale (c.d. tagging), il principio di parità di genere e l’obbligo di protezione e valorizzazione dei giovani;</w:t>
      </w:r>
      <w:r w:rsidDel="00000000" w:rsidR="00000000" w:rsidRPr="00000000">
        <w:rPr>
          <w:rtl w:val="0"/>
        </w:rPr>
      </w:r>
    </w:p>
    <w:bookmarkStart w:colFirst="0" w:colLast="0" w:name="bookmark=id.xvir7l" w:id="71"/>
    <w:bookmarkEnd w:id="71"/>
    <w:bookmarkStart w:colFirst="0" w:colLast="0" w:name="bookmark=id.2iq8gzs" w:id="72"/>
    <w:bookmarkEnd w:id="72"/>
    <w:bookmarkStart w:colFirst="0" w:colLast="0" w:name="bookmark=id.3hv69ve" w:id="73"/>
    <w:bookmarkEnd w:id="73"/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gli obblighi di assicurare il conseguimento di target e milestone e degli obiettivi finanziari stabiliti nel PNRR;</w:t>
      </w:r>
      <w:r w:rsidDel="00000000" w:rsidR="00000000" w:rsidRPr="00000000">
        <w:rPr>
          <w:rtl w:val="0"/>
        </w:rPr>
      </w:r>
    </w:p>
    <w:bookmarkStart w:colFirst="0" w:colLast="0" w:name="bookmark=id.1x0gk37" w:id="74"/>
    <w:bookmarkEnd w:id="74"/>
    <w:bookmarkStart w:colFirst="0" w:colLast="0" w:name="bookmark=id.4h042r0" w:id="75"/>
    <w:bookmarkEnd w:id="75"/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Decreto del Presidente del Consiglio dei Ministri del 30 settembre 2020 n. 166, recante “Regolamento concernente l’organizzazione del Ministero dell’Istruzione”</w:t>
      </w:r>
      <w:r w:rsidDel="00000000" w:rsidR="00000000" w:rsidRPr="00000000">
        <w:rPr>
          <w:rtl w:val="0"/>
        </w:rPr>
      </w:r>
    </w:p>
    <w:bookmarkStart w:colFirst="0" w:colLast="0" w:name="bookmark=id.2w5ecyt" w:id="76"/>
    <w:bookmarkEnd w:id="76"/>
    <w:bookmarkStart w:colFirst="0" w:colLast="0" w:name="bookmark=id.1baon6m" w:id="77"/>
    <w:bookmarkEnd w:id="77"/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Decreto del Ministro dell’economia e delle finanze 6 agosto 2021 e successive modificazioni e integrazioni, con il quale sono state assegnate le risorse in favore di ciascuna Amministrazione titolare degli interventi PNRR e corrispondenti milestone e target;</w:t>
      </w:r>
      <w:r w:rsidDel="00000000" w:rsidR="00000000" w:rsidRPr="00000000">
        <w:rPr>
          <w:rtl w:val="0"/>
        </w:rPr>
      </w:r>
    </w:p>
    <w:bookmarkStart w:colFirst="0" w:colLast="0" w:name="bookmark=id.3vac5uf" w:id="78"/>
    <w:bookmarkEnd w:id="78"/>
    <w:bookmarkStart w:colFirst="0" w:colLast="0" w:name="bookmark=id.2afmg28" w:id="79"/>
    <w:bookmarkEnd w:id="79"/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Decreto del Ministro dell’istruzione, di concerto con il Ministro dell’economia e delle finanze, 21 settembre 2021, n. 284, di istituzione di una Unità di missione di livello dirigenziale generale per l’attuazione degli interventi del Piano nazionale di ripresa e resilienza a titolarità del Ministero dell’istruzione;</w:t>
      </w:r>
      <w:r w:rsidDel="00000000" w:rsidR="00000000" w:rsidRPr="00000000">
        <w:rPr>
          <w:rtl w:val="0"/>
        </w:rPr>
      </w:r>
    </w:p>
    <w:bookmarkStart w:colFirst="0" w:colLast="0" w:name="bookmark=id.39kk8xu" w:id="80"/>
    <w:bookmarkEnd w:id="80"/>
    <w:bookmarkStart w:colFirst="0" w:colLast="0" w:name="bookmark=id.pkwqa1" w:id="81"/>
    <w:bookmarkEnd w:id="81"/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Decreto del Ministro dell’istruzione 30 novembre 2021, n. 341, che individua ulteriori uffici di livello dirigenziale non generale all’interno dell’Unità di missione per il PNRR;</w:t>
      </w:r>
      <w:r w:rsidDel="00000000" w:rsidR="00000000" w:rsidRPr="00000000">
        <w:rPr>
          <w:rtl w:val="0"/>
        </w:rPr>
      </w:r>
    </w:p>
    <w:bookmarkStart w:colFirst="0" w:colLast="0" w:name="bookmark=id.1opuj5n" w:id="82"/>
    <w:bookmarkEnd w:id="82"/>
    <w:bookmarkStart w:colFirst="0" w:colLast="0" w:name="bookmark=id.48pi1tg" w:id="83"/>
    <w:bookmarkEnd w:id="83"/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Decreto del Ministro dell’istruzione 15 febbraio 2022, n. 31, con cui sono state assegnate le risorse finanziarie ai titolari dei centri di responsabilità amministrativa e, in particolare, l’articolo 7 e la tabella D), allegata allo stesso, relativa ai capitoli e ai piani gestionali, su cui insistono le risorse destinate agli interventi in essere previsti dal PNRR;</w:t>
      </w:r>
      <w:r w:rsidDel="00000000" w:rsidR="00000000" w:rsidRPr="00000000">
        <w:rPr>
          <w:rtl w:val="0"/>
        </w:rPr>
      </w:r>
    </w:p>
    <w:bookmarkStart w:colFirst="0" w:colLast="0" w:name="bookmark=id.1302m92" w:id="84"/>
    <w:bookmarkEnd w:id="84"/>
    <w:bookmarkStart w:colFirst="0" w:colLast="0" w:name="bookmark=id.2nusc19" w:id="85"/>
    <w:bookmarkEnd w:id="85"/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Circolare del 14 ottobre 2021, n. 21 del Ministero dell’economia e delle finanze – Dipartimento della ragioneria generale dello Stato - Servizio centrale per il PNRR, recante «Trasmissione delle Istruzioni Tecniche per la selezione dei progetti PNRR»;</w:t>
      </w:r>
      <w:r w:rsidDel="00000000" w:rsidR="00000000" w:rsidRPr="00000000">
        <w:rPr>
          <w:rtl w:val="0"/>
        </w:rPr>
      </w:r>
    </w:p>
    <w:bookmarkStart w:colFirst="0" w:colLast="0" w:name="bookmark=id.3mzq4wv" w:id="86"/>
    <w:bookmarkEnd w:id="86"/>
    <w:bookmarkStart w:colFirst="0" w:colLast="0" w:name="bookmark=id.2250f4o" w:id="87"/>
    <w:bookmarkEnd w:id="87"/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le Linee guida per le Amministrazioni centrali titolari di interventi PNRR, approvate con la circolare del 29 ottobre 2021, n.25, recante “Rilevazione periodica avvisi, bandi e altre procedure di attivazione degli investimenti”, che riportano le modalità per assicurare la correttezza delle procedure di attuazione e rendicontazione, la regolarità della spesa e il conseguimento di target e milestone e di ogni altro adempimento previsto dalla normativa europea e nazionale applicabile al PNRR, a norma dell’articolo 8, comma 3, del decreto-legge 31 maggio 2021, n. 77, convertito, con modificazioni, dalla legge 29 luglio 2021, n. 108;</w:t>
      </w:r>
      <w:r w:rsidDel="00000000" w:rsidR="00000000" w:rsidRPr="00000000">
        <w:rPr>
          <w:rtl w:val="0"/>
        </w:rPr>
      </w:r>
    </w:p>
    <w:bookmarkStart w:colFirst="0" w:colLast="0" w:name="bookmark=id.haapch" w:id="88"/>
    <w:bookmarkEnd w:id="88"/>
    <w:bookmarkStart w:colFirst="0" w:colLast="0" w:name="bookmark=id.319y80a" w:id="89"/>
    <w:bookmarkEnd w:id="89"/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Regolamento UE 2020/852 e, in particolare, l’articolo 17 che definisce gli obiettivi ambientali, tra cui il principio di non arrecare un danno significativo (DNSH, “Do no significant harm”), e la Comunicazione della Commissione UE 2021/C58/01, recante “Orientamenti tecnici sull’applicazione del principio «non arrecare un danno significativo» a norma del regolamento sul dispositivo per la ripresa e la resilienza”;</w:t>
      </w:r>
      <w:r w:rsidDel="00000000" w:rsidR="00000000" w:rsidRPr="00000000">
        <w:rPr>
          <w:rtl w:val="0"/>
        </w:rPr>
      </w:r>
    </w:p>
    <w:bookmarkStart w:colFirst="0" w:colLast="0" w:name="bookmark=id.40ew0vw" w:id="90"/>
    <w:bookmarkEnd w:id="90"/>
    <w:bookmarkStart w:colFirst="0" w:colLast="0" w:name="bookmark=id.1gf8i83" w:id="91"/>
    <w:bookmarkEnd w:id="91"/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circolare del 30 dicembre 2021, n. 32, del Ministero dell’economia e delle finanze – Dipartimento della Ragioneria generale dello Stato, avente ad oggetto “Piano Nazionale di Ripresa e Resilienza – Guida operativa per il rispetto del principio di non arrecare danno significativo all’ambiente (DNSH)”,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202124"/>
          <w:sz w:val="24"/>
          <w:szCs w:val="24"/>
          <w:highlight w:val="white"/>
          <w:u w:val="none"/>
          <w:vertAlign w:val="baseline"/>
          <w:rtl w:val="0"/>
        </w:rPr>
        <w:t xml:space="preserve">che impone all’Amministrazione titolare della misura di dimostrare se la stessa sia stata effettivamente realizzata senza arrecare un danno significativo agli obiettivi ambientali;</w:t>
      </w:r>
      <w:r w:rsidDel="00000000" w:rsidR="00000000" w:rsidRPr="00000000">
        <w:rPr>
          <w:rtl w:val="0"/>
        </w:rPr>
      </w:r>
    </w:p>
    <w:bookmarkStart w:colFirst="0" w:colLast="0" w:name="bookmark=id.2fk6b3p" w:id="92"/>
    <w:bookmarkEnd w:id="92"/>
    <w:bookmarkStart w:colFirst="0" w:colLast="0" w:name="bookmark=id.upglbi" w:id="93"/>
    <w:bookmarkEnd w:id="93"/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Guida operativa per il rispetto del principio di non arrecare danno significativo all’ambiente (cd. DNSH), edizione aggiornata allegata alla circolare RGS n. 33 del 13 ottobre 2022;</w:t>
      </w:r>
      <w:r w:rsidDel="00000000" w:rsidR="00000000" w:rsidRPr="00000000">
        <w:rPr>
          <w:rtl w:val="0"/>
        </w:rPr>
      </w:r>
    </w:p>
    <w:bookmarkStart w:colFirst="0" w:colLast="0" w:name="bookmark=id.1tuee74" w:id="94"/>
    <w:bookmarkEnd w:id="94"/>
    <w:bookmarkStart w:colFirst="0" w:colLast="0" w:name="bookmark=id.3ep43zb" w:id="95"/>
    <w:bookmarkEnd w:id="95"/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Circolare del 18 gennaio 2022, n. 4 del Ragioniere Generale dello Stato, recante “Piano nazionale di ripresa e resilienza (PNRR) – articolo 1, comma 1, del decreto-legge n. 80 del 2021 – Indicazioni attuative”;</w:t>
      </w:r>
      <w:r w:rsidDel="00000000" w:rsidR="00000000" w:rsidRPr="00000000">
        <w:rPr>
          <w:rtl w:val="0"/>
        </w:rPr>
      </w:r>
    </w:p>
    <w:bookmarkStart w:colFirst="0" w:colLast="0" w:name="bookmark=id.2szc72q" w:id="96"/>
    <w:bookmarkEnd w:id="96"/>
    <w:bookmarkStart w:colFirst="0" w:colLast="0" w:name="bookmark=id.4du1wux" w:id="97"/>
    <w:bookmarkEnd w:id="97"/>
    <w:bookmarkStart w:colFirst="0" w:colLast="0" w:name="bookmark=id.184mhaj" w:id="98"/>
    <w:bookmarkEnd w:id="98"/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in particolare, l’art. 1, comma 7, lettera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a)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, della citata Legge 13 luglio 2015 n. 107;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l’art. 16-ter del decreto legislativo 13 aprile 2017, n. 59 che inserisce le competenze linguistiche fra gli obiettivi del sistema di formazione in servizio dei docenti delle Istituzioni scolastiche;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VISTE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le Conclusioni del Consiglio dell’Unione europea (2020/C 415/10) sull’istruzione digitale nelle società della conoscenza europee (2020/C 415/10);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VISTE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le Conclusioni del Consiglio dell’Unione europea (2020/C 212 I/03) sul contrasto alla crisi Covid-19 nel settore dell’istruzione e della formazione;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Raccomandazione del Consiglio dell’Unione europea sul programma nazionale di riforma 2020 dell’Italia e che formula un parere del Consiglio sul programma di stabilità 2020 dell’Italia (COM(2020) 512 final), che richiede, tra l’altro, di investire nell’apprendimento a distanza, nonché nell’infrastruttura e nelle competenze digitali di educatori e discenti;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Piano d’azione per l’istruzione digitale 2021-2027 “Ripensare l'istruzione e la formazione per l’era digitale” di cui alla Comunicazione COM(2020) 624 final del 30 settembre 2020 della Commissione al Parlamento europeo, al Consiglio, al Comitato Economico e sociale europeo e al Comitato delle regioni;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Risoluzione del Consiglio dell’Unione Europea su un quadro strategico per la cooperazione europea nel settore dell’istruzione e della formazione verso uno spazio europeo dell’istruzione e oltre (2021-2030) (2021/C 66/01);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Comunicazione della Commissione europea al Parlamento, al Consiglio, al Comitato economico e sociale europeo e al Comitato delle regioni, che adotta “Un’agenda per le competenze per l’Europa per la competitività sostenibile, l'equità sociale e la resilienza” (COM(2020) 274 final);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Comunicazione della Commissione al Parlamento europeo, al Consiglio, al Comitato economico e sociale europeo e al Comitato delle Regioni, “Piano d’azione per l’integrazione e l’inclusione 2021-2027” (COM(2020) 758 final del 24 novembre 2020);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Comunicazione della Commissione al Parlamento europeo, al Consiglio, al Comitato economico e sociale europeo e al Comitato delle Regioni, “Bussola per il digitale 2030: il modello europeo per il decennio digitale” (COM(2021) 118 final del 9 marzo 2021);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Decreto del Ministro dell’Istruzione n. 61 del 3 aprile 2023, recante “Decreto di destinazione di risorse per incentivare scambi ed esperienze formative all’estero per studenti e per il personale scolastico attraverso un potenziamento del programma Erasmus+ 2021- 2027 e nell’ambito della Missione 4 – Componente 1 – Investimento 3.1 “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Nuove competenze e nuovi linguaggi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” del Piano nazionale di ripresa e resilienza, finanziato dall’Unione europea – Next Generation EU”;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Decreto del Ministro dell’Istruzione n. 65 del 12 aprile 2023, recante “Decreto di riparto delle risorse alle istituzioni scolastiche in attuazione della linea di investimento 3.1 “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Nuove competenze e nuovi linguaggi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”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Decreto del Ministro dell’istruzione e del merito 22 dicembre 2022, n. 328, con il quale sono state adottate le Linee guida per l’orientamento;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Decreto del Ministro dell’istruzione e del merito 15 settembre 2023, n. 184, con il quale sono state adottate le Linee guida per le discipline STEM;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Nota MI n. 23940 del 19/09/2022 riportante le indicazioni operative in merito alla elaborazione dei documenti strategici delle istituzioni scolastiche per il triennio 2022-2025 e loro rapporto con PNRR;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Nota MI n. 4588 del 124/10/2023 riportante le indicazioni operative per introdurre nel piano triennale dell’offerta formativa delle istituzioni scolastiche per il triennio 2022-2025 azioni dedicate a rafforzare le competenze matematico-scientifico-tecnologiche e digitali attraverso metodologie didattiche innovative e loro rapporto con PNRR;</w:t>
      </w:r>
      <w:r w:rsidDel="00000000" w:rsidR="00000000" w:rsidRPr="00000000">
        <w:rPr>
          <w:rtl w:val="0"/>
        </w:rPr>
      </w:r>
    </w:p>
    <w:bookmarkStart w:colFirst="0" w:colLast="0" w:name="bookmark=id.3s49zyc" w:id="99"/>
    <w:bookmarkEnd w:id="99"/>
    <w:bookmarkStart w:colFirst="0" w:colLast="0" w:name="bookmark=id.279ka65" w:id="100"/>
    <w:bookmarkEnd w:id="100"/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Circolare 26 luglio 2022, n. 29 del Ragioniere Generale dello Stato, recante “Circolare delle procedure finanziarie PNRR”;</w:t>
      </w:r>
      <w:r w:rsidDel="00000000" w:rsidR="00000000" w:rsidRPr="00000000">
        <w:rPr>
          <w:rtl w:val="0"/>
        </w:rPr>
      </w:r>
    </w:p>
    <w:bookmarkStart w:colFirst="0" w:colLast="0" w:name="bookmark=id.meukdy" w:id="101"/>
    <w:bookmarkEnd w:id="101"/>
    <w:bookmarkStart w:colFirst="0" w:colLast="0" w:name="bookmark=id.36ei31r" w:id="102"/>
    <w:bookmarkEnd w:id="102"/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Circolare 11 agosto 2022, n. 30, del Ragioniere Generale dello Stato, recante “Linee Guida per lo svolgimento delle attività di controllo e rendicontazione delle Misure PNRR di competenza delle Amministrazioni centrali e dei Soggetti Attuatori”;</w:t>
      </w:r>
      <w:r w:rsidDel="00000000" w:rsidR="00000000" w:rsidRPr="00000000">
        <w:rPr>
          <w:rtl w:val="0"/>
        </w:rPr>
      </w:r>
    </w:p>
    <w:bookmarkStart w:colFirst="0" w:colLast="0" w:name="bookmark=id.1ljsd9k" w:id="103"/>
    <w:bookmarkEnd w:id="103"/>
    <w:bookmarkStart w:colFirst="0" w:colLast="0" w:name="bookmark=id.45jfvxd" w:id="104"/>
    <w:bookmarkEnd w:id="104"/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CONSIDERATO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che il PNRR, nell’ambito della citata Missione 4 – Istruzione e Ricerca – Componente 1, relativamente al predetto investimento, prevede, tra le altre cose, che “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misura mira a promuovere l’integrazione, all’interno dei curricula di tutti i cicli scolastici, di attività, metodologie e contenuti volti a sviluppare le competenze STEM, digitali e di innovazione, con particolare riguardo verso le pari opportunità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”;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l’Allegato 1 del D.M. 65/2023 del 12 aprile 2023 recante “Decreto di riparto delle risorse alle istituzioni scolastiche in attuazione della linea di investimento 3.1 “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Nuove competenze e nuovi linguaggi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”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che questa Istituzione Scolastica è stata autorizzata ad attuare le Azioni di potenziamento delle competenze STEM e multilinguistiche, in attuazione della linea di investimento 3.1 nell’ambito della Missione 4 - Componente 1 - del PNRR, con il progetto “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Nuove competenze e nuovi linguaggi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”, per un importo pari ad €</w:t>
      </w:r>
      <w:bookmarkStart w:colFirst="0" w:colLast="0" w:name="bookmark=id.2koq656" w:id="105"/>
      <w:bookmarkEnd w:id="105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105751,67;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QUADERNO N. 3 del Ministero dell’Istruzione, del novembre 2020, recante Istruzioni per il conferimento di incarichi individuali;</w:t>
      </w:r>
      <w:r w:rsidDel="00000000" w:rsidR="00000000" w:rsidRPr="00000000">
        <w:rPr>
          <w:rtl w:val="0"/>
        </w:rPr>
      </w:r>
    </w:p>
    <w:bookmarkStart w:colFirst="0" w:colLast="0" w:name="bookmark=id.zu0gcz" w:id="106"/>
    <w:bookmarkEnd w:id="106"/>
    <w:bookmarkStart w:colFirst="0" w:colLast="0" w:name="bookmark=id.1yyy98l" w:id="107"/>
    <w:bookmarkEnd w:id="107"/>
    <w:bookmarkStart w:colFirst="0" w:colLast="0" w:name="bookmark=id.3jtnz0s" w:id="108"/>
    <w:bookmarkEnd w:id="108"/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Piano Triennale dell’Offerta Formativa (PTOF) per l’as. </w:t>
      </w:r>
      <w:bookmarkStart w:colFirst="0" w:colLast="0" w:name="bookmark=id.4iylrwe" w:id="109"/>
      <w:bookmarkEnd w:id="109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2023/2024;</w:t>
      </w:r>
      <w:r w:rsidDel="00000000" w:rsidR="00000000" w:rsidRPr="00000000">
        <w:rPr>
          <w:rtl w:val="0"/>
        </w:rPr>
      </w:r>
    </w:p>
    <w:bookmarkStart w:colFirst="0" w:colLast="0" w:name="bookmark=id.1d96cc0" w:id="110"/>
    <w:bookmarkEnd w:id="110"/>
    <w:bookmarkStart w:colFirst="0" w:colLast="0" w:name="bookmark=id.2y3w247" w:id="111"/>
    <w:bookmarkEnd w:id="111"/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PRESO ATTO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che la linea di finanziamento che interessa codesta scuola è:</w:t>
      </w:r>
      <w:r w:rsidDel="00000000" w:rsidR="00000000" w:rsidRPr="00000000">
        <w:rPr>
          <w:rtl w:val="0"/>
        </w:rPr>
      </w:r>
    </w:p>
    <w:bookmarkStart w:colFirst="0" w:colLast="0" w:name="bookmark=id.3x8tuzt" w:id="112"/>
    <w:bookmarkEnd w:id="112"/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D.M. 65/2023 - PNRR - Missione 4 – Istruzione e Ricerca – Componente 1 – Potenziamento dell’offerta dei servizi all’istruzione: dagli asili nido all’Università - Investimento 3.1 “Nuove competenze e nuovi linguaggi” del Piano nazionale di ripresa e resilienza, finanziato dall’Unione europea – Next Generation EU</w:t>
      </w:r>
    </w:p>
    <w:bookmarkStart w:colFirst="0" w:colLast="0" w:name="bookmark=id.2ce457m" w:id="113"/>
    <w:bookmarkEnd w:id="113"/>
    <w:bookmarkStart w:colFirst="0" w:colLast="0" w:name="bookmark=id.rjefff" w:id="114"/>
    <w:bookmarkEnd w:id="114"/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l’accordo di concessione prot. n. </w:t>
      </w:r>
      <w:bookmarkStart w:colFirst="0" w:colLast="0" w:name="bookmark=id.3bj1y38" w:id="115"/>
      <w:bookmarkEnd w:id="115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22914 del 18/02/2024, firmato dal Ministero dell’istruzione e del merito, rappresentato dalla dott.ssa Montesarchio, Direttore generale e coordinatrice dell’Unità di missione per il Piano nazionale di ripresa e resilienza, che autorizza l'attuazione del progetto </w:t>
      </w:r>
      <w:bookmarkStart w:colFirst="0" w:colLast="0" w:name="bookmark=id.1qoc8b1" w:id="116"/>
      <w:bookmarkEnd w:id="116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M4C1I3.1-2023-1143-P-40752 dal titolo "</w:t>
      </w:r>
      <w:bookmarkStart w:colFirst="0" w:colLast="0" w:name="bookmark=id.4anzqyu" w:id="117"/>
      <w:bookmarkEnd w:id="117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PROGRAMMARE PER COMUNICARE" per un importo pari a €</w:t>
      </w:r>
      <w:bookmarkStart w:colFirst="0" w:colLast="0" w:name="bookmark=id.2pta16n" w:id="118"/>
      <w:bookmarkEnd w:id="118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105751,67;</w:t>
      </w:r>
      <w:r w:rsidDel="00000000" w:rsidR="00000000" w:rsidRPr="00000000">
        <w:rPr>
          <w:rtl w:val="0"/>
        </w:rPr>
      </w:r>
    </w:p>
    <w:bookmarkStart w:colFirst="0" w:colLast="0" w:name="bookmark=id.3oy7u29" w:id="119"/>
    <w:bookmarkEnd w:id="119"/>
    <w:bookmarkStart w:colFirst="0" w:colLast="0" w:name="bookmark=id.14ykbeg" w:id="120"/>
    <w:bookmarkEnd w:id="120"/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delibera n. </w:t>
      </w:r>
      <w:bookmarkStart w:colFirst="0" w:colLast="0" w:name="bookmark=id.243i4a2" w:id="121"/>
      <w:bookmarkEnd w:id="121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8 del 31/01/2024 del Consiglio di Istituto di adesione al progetto;</w:t>
      </w:r>
      <w:r w:rsidDel="00000000" w:rsidR="00000000" w:rsidRPr="00000000">
        <w:rPr>
          <w:rtl w:val="0"/>
        </w:rPr>
      </w:r>
    </w:p>
    <w:bookmarkStart w:colFirst="0" w:colLast="0" w:name="bookmark=id.j8sehv" w:id="122"/>
    <w:bookmarkEnd w:id="122"/>
    <w:bookmarkStart w:colFirst="0" w:colLast="0" w:name="bookmark=id.338fx5o" w:id="123"/>
    <w:bookmarkEnd w:id="123"/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Programma Annuale </w:t>
      </w:r>
      <w:bookmarkStart w:colFirst="0" w:colLast="0" w:name="bookmark=id.1idq7dh" w:id="124"/>
      <w:bookmarkEnd w:id="124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2024;</w:t>
      </w:r>
      <w:r w:rsidDel="00000000" w:rsidR="00000000" w:rsidRPr="00000000">
        <w:rPr>
          <w:rtl w:val="0"/>
        </w:rPr>
      </w:r>
    </w:p>
    <w:bookmarkStart w:colFirst="0" w:colLast="0" w:name="bookmark=id.2hio093" w:id="125"/>
    <w:bookmarkEnd w:id="125"/>
    <w:bookmarkStart w:colFirst="0" w:colLast="0" w:name="bookmark=id.42ddq1a" w:id="126"/>
    <w:bookmarkEnd w:id="126"/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Programma Annuale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E.F. 2024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approvato dall’Istituto con delibera del CdI n. </w:t>
      </w:r>
      <w:bookmarkStart w:colFirst="0" w:colLast="0" w:name="bookmark=id.wnyagw" w:id="127"/>
      <w:bookmarkEnd w:id="127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proprio decreto di assunzione a bilancio del finanziamento assegnato, prot. n. </w:t>
      </w:r>
      <w:bookmarkStart w:colFirst="0" w:colLast="0" w:name="bookmark=id.3gnlt4p" w:id="128"/>
      <w:bookmarkEnd w:id="128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2091 del 28/02/2024;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propria azione di disseminazione, comunicazione, sensibilizzazione e pubblicizzazione del progetto, prot. </w:t>
      </w:r>
      <w:bookmarkStart w:colFirst="0" w:colLast="0" w:name="bookmark=id.1vsw3ci" w:id="129"/>
      <w:bookmarkEnd w:id="129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2269 del 04/03/2024;</w:t>
      </w:r>
      <w:r w:rsidDel="00000000" w:rsidR="00000000" w:rsidRPr="00000000">
        <w:rPr>
          <w:rtl w:val="0"/>
        </w:rPr>
      </w:r>
    </w:p>
    <w:bookmarkStart w:colFirst="0" w:colLast="0" w:name="bookmark=id.2uxtw84" w:id="130"/>
    <w:bookmarkEnd w:id="130"/>
    <w:bookmarkStart w:colFirst="0" w:colLast="0" w:name="bookmark=id.4fsjm0b" w:id="131"/>
    <w:bookmarkEnd w:id="131"/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l’Avviso di selezione interna prot. n. </w:t>
      </w:r>
      <w:bookmarkStart w:colFirst="0" w:colLast="0" w:name="bookmark=id.1a346fx" w:id="132"/>
      <w:bookmarkEnd w:id="132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 che fissa i criteri, le modalità di presentazione ed i termini di scadenza delle istanze pervenute per l’incarico in oggetto;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RILEVATA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necessità di individuare le figure di esperti interni all’istituzione scolastica, come indicate nell'avviso sopracitato;</w:t>
      </w:r>
      <w:r w:rsidDel="00000000" w:rsidR="00000000" w:rsidRPr="00000000">
        <w:rPr>
          <w:rtl w:val="0"/>
        </w:rPr>
      </w:r>
    </w:p>
    <w:bookmarkStart w:colFirst="0" w:colLast="0" w:name="bookmark=id.3u2rp3q" w:id="133"/>
    <w:bookmarkEnd w:id="133"/>
    <w:bookmarkStart w:colFirst="0" w:colLast="0" w:name="bookmark=id.2981zbj" w:id="134"/>
    <w:bookmarkEnd w:id="134"/>
    <w:p w:rsidR="00000000" w:rsidDel="00000000" w:rsidP="00000000" w:rsidRDefault="00000000" w:rsidRPr="00000000" w14:paraId="00000059">
      <w:pPr>
        <w:pStyle w:val="Heading3"/>
        <w:spacing w:after="0" w:before="0" w:lineRule="auto"/>
        <w:ind w:left="0" w:right="0" w:firstLine="0"/>
        <w:jc w:val="center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DISPONE</w:t>
      </w:r>
    </w:p>
    <w:p w:rsidR="00000000" w:rsidDel="00000000" w:rsidP="00000000" w:rsidRDefault="00000000" w:rsidRPr="00000000" w14:paraId="0000005A">
      <w:pPr>
        <w:pStyle w:val="Heading3"/>
        <w:spacing w:after="0" w:before="0" w:lineRule="auto"/>
        <w:jc w:val="center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Art. 1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Commissione giudicatrice per la valutazione delle candidature per l’Avviso indicato in premessa, è così costituita.</w:t>
      </w:r>
    </w:p>
    <w:bookmarkStart w:colFirst="0" w:colLast="0" w:name="bookmark=id.odc9jc" w:id="135"/>
    <w:bookmarkEnd w:id="135"/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(con funzione di Presidente);</w:t>
      </w:r>
    </w:p>
    <w:bookmarkStart w:colFirst="0" w:colLast="0" w:name="bookmark=id.38czs75" w:id="136"/>
    <w:bookmarkEnd w:id="136"/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(con funzione di componente della Commissione giudicatrice);</w:t>
      </w:r>
    </w:p>
    <w:bookmarkStart w:colFirst="0" w:colLast="0" w:name="bookmark=id.1nia2ey" w:id="137"/>
    <w:bookmarkEnd w:id="137"/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(con funzione di segretario verbalizzante).</w:t>
      </w:r>
    </w:p>
    <w:p w:rsidR="00000000" w:rsidDel="00000000" w:rsidP="00000000" w:rsidRDefault="00000000" w:rsidRPr="00000000" w14:paraId="0000005F">
      <w:pPr>
        <w:pStyle w:val="Heading3"/>
        <w:spacing w:after="0" w:before="0" w:lineRule="auto"/>
        <w:jc w:val="center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Art. 2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 lavori della Commissione giudicatrice saranno svolti con i criteri indicati nell’Avviso </w:t>
      </w:r>
      <w:bookmarkStart w:colFirst="0" w:colLast="0" w:name="bookmark=id.47hxl2r" w:id="138"/>
      <w:bookmarkEnd w:id="138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61">
      <w:pPr>
        <w:pStyle w:val="Heading3"/>
        <w:spacing w:after="0" w:before="0" w:lineRule="auto"/>
        <w:jc w:val="center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Art. 3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Responsabile del Progetto provvederà ad acquisire, presso i nomina di commissari, le dichiarazioni di assenza condizioni di incompatibilità o inconferibilità ai sensi dell'art. 20, comma 2, del D.Lgs. n. 39/2013 recante "Disposizioni in materia di inconferibilità e incompatibilità di incarichi presso le pubbliche amministrazioni e presso gli enti privati in controllo pubblico", a norma dell'art.1, commi 49 e 50, della Legge n. 190/2012, secondo il modello allegato al presente documento.</w:t>
      </w:r>
    </w:p>
    <w:p w:rsidR="00000000" w:rsidDel="00000000" w:rsidP="00000000" w:rsidRDefault="00000000" w:rsidRPr="00000000" w14:paraId="00000063">
      <w:pPr>
        <w:pStyle w:val="Heading3"/>
        <w:spacing w:after="0" w:before="0" w:lineRule="auto"/>
        <w:jc w:val="center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Art. 4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Commissione è convocata per il giorno </w:t>
      </w:r>
      <w:bookmarkStart w:colFirst="0" w:colLast="0" w:name="bookmark=id.2mn7vak" w:id="139"/>
      <w:bookmarkEnd w:id="139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65">
      <w:pPr>
        <w:pStyle w:val="Heading3"/>
        <w:spacing w:after="0" w:before="0" w:lineRule="auto"/>
        <w:jc w:val="center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Art. 5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presente disposizione è pubblicata all’Albo dell’Istituto e sul sito web: </w:t>
      </w:r>
      <w:bookmarkStart w:colFirst="0" w:colLast="0" w:name="bookmark=id.11si5id" w:id="140"/>
      <w:bookmarkEnd w:id="140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https://iceral.edu.it/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In allegato: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Dichiarazione assenza condizioni di incompatibilità</w:t>
      </w:r>
    </w:p>
    <w:bookmarkStart w:colFirst="0" w:colLast="0" w:name="bookmark=id.3ls5o66" w:id="141"/>
    <w:bookmarkEnd w:id="141"/>
    <w:bookmarkStart w:colFirst="0" w:colLast="0" w:name="bookmark=id.20xfydz" w:id="142"/>
    <w:bookmarkEnd w:id="142"/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Dirigente Scolastico 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</w:r>
      <w:bookmarkStart w:colFirst="0" w:colLast="0" w:name="bookmark=id.4kx3h1s" w:id="143"/>
      <w:bookmarkEnd w:id="143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Dott.ssa Elisabetta Libralato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16"/>
          <w:szCs w:val="16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16"/>
          <w:szCs w:val="16"/>
          <w:highlight w:val="white"/>
          <w:u w:val="none"/>
          <w:vertAlign w:val="baseline"/>
          <w:rtl w:val="0"/>
        </w:rPr>
        <w:t xml:space="preserve">Documento informatico firmato digitalmente ai sensi del D.Lgs. 82/2005, 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16"/>
          <w:szCs w:val="16"/>
          <w:highlight w:val="white"/>
          <w:u w:val="none"/>
          <w:vertAlign w:val="baseline"/>
          <w:rtl w:val="0"/>
        </w:rPr>
        <w:t xml:space="preserve">il quale sostituisce il documento cartaceo e la firma autografa.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567" w:top="567" w:left="1134" w:right="56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07" w:hanging="282.99999999999994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14" w:hanging="283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21" w:hanging="283.0000000000002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28" w:hanging="283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535" w:hanging="283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242" w:hanging="283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49" w:hanging="283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656" w:hanging="282.9999999999991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363" w:hanging="283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07" w:hanging="282.99999999999994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14" w:hanging="283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21" w:hanging="283.0000000000002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28" w:hanging="283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535" w:hanging="283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242" w:hanging="283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49" w:hanging="283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656" w:hanging="282.9999999999991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363" w:hanging="283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</w:pPr>
    <w:rPr>
      <w:rFonts w:ascii="Liberation Serif" w:cs="Liberation Serif" w:eastAsia="Liberation Serif" w:hAnsi="Liberation Serif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qFormat w:val="1"/>
    <w:pPr>
      <w:widowControl w:val="0"/>
      <w:bidi w:val="0"/>
    </w:pPr>
    <w:rPr>
      <w:rFonts w:ascii="Liberation Serif" w:cs="Noto Sans Devanagari" w:eastAsia="DejaVu Sans" w:hAnsi="Liberation Serif"/>
      <w:color w:val="auto"/>
      <w:sz w:val="24"/>
      <w:szCs w:val="24"/>
      <w:lang w:bidi="hi-IN" w:eastAsia="zh-CN" w:val="en-US"/>
    </w:rPr>
  </w:style>
  <w:style w:type="paragraph" w:styleId="Heading3">
    <w:name w:val="Heading 3"/>
    <w:basedOn w:val="Heading"/>
    <w:next w:val="TextBody"/>
    <w:qFormat w:val="1"/>
    <w:pPr>
      <w:spacing w:after="120" w:before="140"/>
      <w:outlineLvl w:val="2"/>
    </w:pPr>
    <w:rPr>
      <w:rFonts w:ascii="Liberation Serif" w:cs="Noto Sans Devanagari" w:eastAsia="DejaVu Sans" w:hAnsi="Liberation Serif"/>
      <w:b w:val="1"/>
      <w:bCs w:val="1"/>
      <w:sz w:val="28"/>
      <w:szCs w:val="28"/>
    </w:rPr>
  </w:style>
  <w:style w:type="character" w:styleId="Emphasis">
    <w:name w:val="Emphasis"/>
    <w:qFormat w:val="1"/>
    <w:rPr>
      <w:i w:val="1"/>
      <w:iCs w:val="1"/>
    </w:rPr>
  </w:style>
  <w:style w:type="character" w:styleId="StrongEmphasis">
    <w:name w:val="Strong Emphasis"/>
    <w:qFormat w:val="1"/>
    <w:rPr>
      <w:b w:val="1"/>
      <w:bCs w:val="1"/>
    </w:rPr>
  </w:style>
  <w:style w:type="character" w:styleId="InternetLink">
    <w:name w:val="Hyperlink"/>
    <w:rPr>
      <w:color w:val="000080"/>
      <w:u w:val="single"/>
      <w:lang w:bidi="zxx" w:eastAsia="zxx" w:val="zxx"/>
    </w:rPr>
  </w:style>
  <w:style w:type="character" w:styleId="Bullets">
    <w:name w:val="Bullets"/>
    <w:qFormat w:val="1"/>
    <w:rPr>
      <w:rFonts w:ascii="OpenSymbol" w:cs="OpenSymbol" w:eastAsia="OpenSymbol" w:hAnsi="OpenSymbol"/>
    </w:rPr>
  </w:style>
  <w:style w:type="paragraph" w:styleId="Heading">
    <w:name w:val="Heading"/>
    <w:basedOn w:val="Normal"/>
    <w:next w:val="TextBody"/>
    <w:qFormat w:val="1"/>
    <w:pPr>
      <w:keepNext w:val="1"/>
      <w:spacing w:after="120" w:before="240"/>
    </w:pPr>
    <w:rPr>
      <w:rFonts w:ascii="Liberation Sans" w:cs="Noto Sans Devanagari" w:eastAsia="DejaVu Sans" w:hAnsi="Liberation Sans"/>
      <w:sz w:val="28"/>
      <w:szCs w:val="28"/>
    </w:rPr>
  </w:style>
  <w:style w:type="paragraph" w:styleId="TextBody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Noto Sans Devanagari"/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>
      <w:rFonts w:cs="Noto Sans Devanagari"/>
      <w:lang w:bidi="zxx" w:eastAsia="zxx" w:val="zxx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normattiva.it/uri-res/N2Ls?urn:nir:stato:legge:2003-01-16;3~art11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www.gazzettaufficiale.it/eli/gu/2022/12/29/303/so/43/sg/pd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OHzV4ULgiu6V96/aheJ3IJNmag==">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